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29C0" w:rsidRDefault="00F16F7C">
      <w:r>
        <w:rPr>
          <w:noProof/>
          <w:lang w:eastAsia="pl-PL"/>
        </w:rPr>
        <w:drawing>
          <wp:inline distT="0" distB="0" distL="0" distR="0" wp14:anchorId="40E96BD5" wp14:editId="7F14EFA9">
            <wp:extent cx="6670800" cy="900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70800" cy="9000000"/>
                    </a:xfrm>
                    <a:prstGeom prst="rect">
                      <a:avLst/>
                    </a:prstGeom>
                  </pic:spPr>
                </pic:pic>
              </a:graphicData>
            </a:graphic>
          </wp:inline>
        </w:drawing>
      </w:r>
    </w:p>
    <w:p w:rsidR="00F16F7C" w:rsidRDefault="00F16F7C"/>
    <w:p w:rsidR="00F16F7C" w:rsidRDefault="00F16F7C">
      <w:r>
        <w:rPr>
          <w:noProof/>
          <w:lang w:eastAsia="pl-PL"/>
        </w:rPr>
        <w:lastRenderedPageBreak/>
        <w:drawing>
          <wp:inline distT="0" distB="0" distL="0" distR="0">
            <wp:extent cx="6751782" cy="683932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4422" cy="6842000"/>
                    </a:xfrm>
                    <a:prstGeom prst="rect">
                      <a:avLst/>
                    </a:prstGeom>
                    <a:noFill/>
                    <a:ln>
                      <a:noFill/>
                    </a:ln>
                  </pic:spPr>
                </pic:pic>
              </a:graphicData>
            </a:graphic>
          </wp:inline>
        </w:drawing>
      </w:r>
    </w:p>
    <w:p w:rsidR="00F16F7C" w:rsidRDefault="00F16F7C"/>
    <w:p w:rsidR="00F16F7C" w:rsidRDefault="00F16F7C"/>
    <w:p w:rsidR="00F16F7C" w:rsidRDefault="00F16F7C"/>
    <w:p w:rsidR="00F16F7C" w:rsidRDefault="00F16F7C"/>
    <w:p w:rsidR="00F16F7C" w:rsidRDefault="00F16F7C"/>
    <w:p w:rsidR="00F16F7C" w:rsidRDefault="00F16F7C"/>
    <w:p w:rsidR="00F16F7C" w:rsidRDefault="00F16F7C"/>
    <w:p w:rsidR="00F16F7C" w:rsidRDefault="00F16F7C"/>
    <w:p w:rsidR="00F16F7C" w:rsidRPr="00F16F7C" w:rsidRDefault="00F16F7C" w:rsidP="00F16F7C">
      <w:pPr>
        <w:tabs>
          <w:tab w:val="left" w:pos="9923"/>
        </w:tabs>
        <w:spacing w:after="0" w:line="200" w:lineRule="exact"/>
        <w:jc w:val="center"/>
        <w:rPr>
          <w:rFonts w:ascii="Times New Roman" w:hAnsi="Times New Roman" w:cs="Times New Roman"/>
          <w:b/>
          <w:color w:val="000000" w:themeColor="text1"/>
          <w:sz w:val="20"/>
          <w:szCs w:val="20"/>
          <w:u w:val="single"/>
        </w:rPr>
      </w:pPr>
      <w:r w:rsidRPr="00F16F7C">
        <w:rPr>
          <w:rFonts w:ascii="Times New Roman" w:hAnsi="Times New Roman" w:cs="Times New Roman"/>
          <w:b/>
          <w:color w:val="000000" w:themeColor="text1"/>
          <w:sz w:val="20"/>
          <w:szCs w:val="20"/>
          <w:u w:val="single"/>
        </w:rPr>
        <w:t xml:space="preserve">INSTRUKCJA WYPEŁNIANIA </w:t>
      </w:r>
    </w:p>
    <w:p w:rsidR="00F16F7C" w:rsidRDefault="00F16F7C" w:rsidP="00F16F7C">
      <w:pPr>
        <w:tabs>
          <w:tab w:val="left" w:pos="9923"/>
        </w:tabs>
        <w:spacing w:after="0" w:line="200" w:lineRule="exact"/>
        <w:rPr>
          <w:rFonts w:ascii="Times New Roman" w:hAnsi="Times New Roman" w:cs="Times New Roman"/>
          <w:b/>
          <w:color w:val="000000" w:themeColor="text1"/>
          <w:sz w:val="20"/>
          <w:szCs w:val="20"/>
        </w:rPr>
      </w:pPr>
    </w:p>
    <w:p w:rsidR="00F16F7C" w:rsidRPr="00F16F7C" w:rsidRDefault="00F16F7C" w:rsidP="00F16F7C">
      <w:pPr>
        <w:tabs>
          <w:tab w:val="left" w:pos="9923"/>
        </w:tabs>
        <w:spacing w:after="0" w:line="200" w:lineRule="exact"/>
        <w:rPr>
          <w:rFonts w:ascii="Times New Roman" w:hAnsi="Times New Roman" w:cs="Times New Roman"/>
          <w:b/>
          <w:color w:val="000000" w:themeColor="text1"/>
          <w:sz w:val="20"/>
          <w:szCs w:val="20"/>
        </w:rPr>
      </w:pPr>
      <w:r w:rsidRPr="00F16F7C">
        <w:rPr>
          <w:rFonts w:ascii="Times New Roman" w:hAnsi="Times New Roman" w:cs="Times New Roman"/>
          <w:b/>
          <w:color w:val="000000" w:themeColor="text1"/>
          <w:sz w:val="20"/>
          <w:szCs w:val="20"/>
        </w:rPr>
        <w:t>Informacje ogólne</w:t>
      </w:r>
    </w:p>
    <w:p w:rsidR="00F16F7C" w:rsidRDefault="00F16F7C" w:rsidP="00F16F7C">
      <w:pPr>
        <w:tabs>
          <w:tab w:val="left" w:pos="9923"/>
        </w:tabs>
        <w:spacing w:after="0" w:line="200" w:lineRule="exact"/>
        <w:contextualSpacing/>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 xml:space="preserve">Instrukcja wypełniania formularza deklaracji środków pieniężnych dotyczy również niniejszego formularza. </w:t>
      </w:r>
    </w:p>
    <w:p w:rsidR="00F16F7C" w:rsidRPr="00F16F7C" w:rsidRDefault="00F16F7C" w:rsidP="00F16F7C">
      <w:pPr>
        <w:pStyle w:val="Akapitzlist"/>
        <w:tabs>
          <w:tab w:val="left" w:pos="9923"/>
        </w:tabs>
        <w:spacing w:line="200" w:lineRule="exact"/>
        <w:ind w:left="284"/>
        <w:jc w:val="both"/>
        <w:rPr>
          <w:rFonts w:ascii="Times New Roman" w:hAnsi="Times New Roman" w:cs="Times New Roman"/>
          <w:b/>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b/>
          <w:color w:val="000000" w:themeColor="text1"/>
          <w:sz w:val="20"/>
          <w:szCs w:val="20"/>
          <w:u w:val="single"/>
        </w:rPr>
      </w:pPr>
      <w:r w:rsidRPr="00F16F7C">
        <w:rPr>
          <w:rFonts w:ascii="Times New Roman" w:hAnsi="Times New Roman" w:cs="Times New Roman"/>
          <w:b/>
          <w:color w:val="000000" w:themeColor="text1"/>
          <w:sz w:val="20"/>
          <w:szCs w:val="20"/>
          <w:u w:val="single"/>
        </w:rPr>
        <w:t>Sekcja A: Nr dodatkowego arkusza</w:t>
      </w:r>
    </w:p>
    <w:p w:rsidR="00F16F7C" w:rsidRPr="00F16F7C" w:rsidRDefault="00F16F7C" w:rsidP="00F16F7C">
      <w:pPr>
        <w:tabs>
          <w:tab w:val="left" w:pos="9923"/>
        </w:tabs>
        <w:spacing w:after="0" w:line="200" w:lineRule="exact"/>
        <w:contextualSpacing/>
        <w:jc w:val="both"/>
        <w:rPr>
          <w:rFonts w:ascii="Times New Roman" w:hAnsi="Times New Roman" w:cs="Times New Roman"/>
          <w:b/>
          <w:color w:val="000000" w:themeColor="text1"/>
          <w:sz w:val="20"/>
          <w:szCs w:val="20"/>
          <w:u w:val="single"/>
        </w:rPr>
      </w:pP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 xml:space="preserve">Dodatkowe arkusze opatruje się kolejnymi numerami (tj. pierwszy dodatkowy arkusz – nr 1; drugi – nr 2 itd.). </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Całkowitą liczbę wykorzystanych dodatkowych arkuszy należy podać na drugiej stronie formularza deklaracji środków pieniężnych.</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b/>
          <w:color w:val="000000" w:themeColor="text1"/>
          <w:sz w:val="20"/>
          <w:szCs w:val="20"/>
          <w:u w:val="single"/>
        </w:rPr>
      </w:pPr>
      <w:r w:rsidRPr="00F16F7C">
        <w:rPr>
          <w:rFonts w:ascii="Times New Roman" w:hAnsi="Times New Roman" w:cs="Times New Roman"/>
          <w:b/>
          <w:color w:val="000000" w:themeColor="text1"/>
          <w:sz w:val="20"/>
          <w:szCs w:val="20"/>
          <w:u w:val="single"/>
        </w:rPr>
        <w:t>Sekcja B: Informacje o dodatkowym ar</w:t>
      </w:r>
      <w:r>
        <w:rPr>
          <w:rFonts w:ascii="Times New Roman" w:hAnsi="Times New Roman" w:cs="Times New Roman"/>
          <w:b/>
          <w:color w:val="000000" w:themeColor="text1"/>
          <w:sz w:val="20"/>
          <w:szCs w:val="20"/>
          <w:u w:val="single"/>
        </w:rPr>
        <w:t>kuszu</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u w:val="single"/>
        </w:rPr>
      </w:pP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Podać powód wypełnienia dodatkowego arkusza.</w:t>
      </w:r>
      <w:r w:rsidRPr="00F16F7C">
        <w:rPr>
          <w:rFonts w:ascii="Times New Roman" w:hAnsi="Times New Roman" w:cs="Times New Roman"/>
          <w:sz w:val="20"/>
          <w:szCs w:val="20"/>
        </w:rPr>
        <w:t xml:space="preserve"> </w:t>
      </w:r>
      <w:r w:rsidRPr="00F16F7C">
        <w:rPr>
          <w:rFonts w:ascii="Times New Roman" w:hAnsi="Times New Roman" w:cs="Times New Roman"/>
          <w:color w:val="000000" w:themeColor="text1"/>
          <w:sz w:val="20"/>
          <w:szCs w:val="20"/>
        </w:rPr>
        <w:t>Należy zaznaczyć tylko jedną opcję. Jeżeli właściwych jest więcej opcji, należy dla każdej wypełnić oddzielny dodatkowy arkusz.</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b/>
          <w:sz w:val="20"/>
          <w:szCs w:val="20"/>
        </w:rPr>
        <w:t xml:space="preserve">B.1: C.d. „Informacji o środkach pieniężnych”: </w:t>
      </w:r>
      <w:r w:rsidRPr="00F16F7C">
        <w:rPr>
          <w:rFonts w:ascii="Times New Roman" w:hAnsi="Times New Roman" w:cs="Times New Roman"/>
          <w:sz w:val="20"/>
          <w:szCs w:val="20"/>
        </w:rPr>
        <w:t>Tę opcję wybiera się tylko wówczas, gdy w formularzu deklaracji brakuje miejsca w sekcji 4 „Informacje o środkach pieniężnych”. Należy wypełnić sekcję C i pominąć sekcje D i E.</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B.2: Przewożący jest właścicielem i zamierzonym odbiorcą części środków:</w:t>
      </w:r>
      <w:r w:rsidRPr="00F16F7C">
        <w:rPr>
          <w:rFonts w:ascii="Times New Roman" w:hAnsi="Times New Roman" w:cs="Times New Roman"/>
          <w:sz w:val="20"/>
          <w:szCs w:val="20"/>
        </w:rPr>
        <w:t xml:space="preserve"> Wybrać, gdy przewożący jest również właścicielem </w:t>
      </w:r>
      <w:r w:rsidRPr="00F16F7C">
        <w:rPr>
          <w:rFonts w:ascii="Times New Roman" w:hAnsi="Times New Roman" w:cs="Times New Roman"/>
          <w:sz w:val="20"/>
          <w:szCs w:val="20"/>
          <w:u w:val="single"/>
        </w:rPr>
        <w:t>i</w:t>
      </w:r>
      <w:r w:rsidRPr="00F16F7C">
        <w:rPr>
          <w:rFonts w:ascii="Times New Roman" w:hAnsi="Times New Roman" w:cs="Times New Roman"/>
          <w:sz w:val="20"/>
          <w:szCs w:val="20"/>
        </w:rPr>
        <w:t> zamierzonym odbiorcą części środków pieniężnych. Dla każdego innego właściciela i zamierzonego odbiorcy należy wypełnić osobny dodatkowy arkusz.</w:t>
      </w:r>
    </w:p>
    <w:p w:rsidR="00F16F7C" w:rsidRPr="00F16F7C" w:rsidRDefault="00F16F7C" w:rsidP="00F16F7C">
      <w:pPr>
        <w:tabs>
          <w:tab w:val="left" w:pos="9923"/>
        </w:tabs>
        <w:spacing w:after="0" w:line="200" w:lineRule="exact"/>
        <w:ind w:left="425"/>
        <w:jc w:val="both"/>
        <w:rPr>
          <w:rFonts w:ascii="Times New Roman"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W sekcji C należy podać kwotę środków będących własnością i kwotę środków, które mają zostać odebrane.</w:t>
      </w:r>
    </w:p>
    <w:p w:rsidR="00F16F7C" w:rsidRDefault="00F16F7C" w:rsidP="00F16F7C">
      <w:pPr>
        <w:tabs>
          <w:tab w:val="left" w:pos="9923"/>
        </w:tabs>
        <w:spacing w:after="0" w:line="200" w:lineRule="exact"/>
        <w:ind w:left="425"/>
        <w:jc w:val="both"/>
        <w:rPr>
          <w:rFonts w:ascii="Times New Roman"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 xml:space="preserve">W podsekcjach D.1 i D.2 należy podać pochodzenie gospodarcze i zamierzone przeznaczenie środków będących własnością przewożącego. </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 xml:space="preserve">B.3: Przewożący jest właścicielem części środków: </w:t>
      </w:r>
      <w:r w:rsidRPr="00F16F7C">
        <w:rPr>
          <w:rFonts w:ascii="Times New Roman" w:hAnsi="Times New Roman" w:cs="Times New Roman"/>
          <w:sz w:val="20"/>
          <w:szCs w:val="20"/>
        </w:rPr>
        <w:t>Wybrać, gdy przewożący jest też właścicielem części środków pieniężnych. Dla każdego innego właściciela należy wy</w:t>
      </w:r>
      <w:r>
        <w:rPr>
          <w:rFonts w:ascii="Times New Roman" w:hAnsi="Times New Roman" w:cs="Times New Roman"/>
          <w:sz w:val="20"/>
          <w:szCs w:val="20"/>
        </w:rPr>
        <w:t>pełnić osobny dodatkowy arkusz.</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W sekcji C należy podać kwotę środków będących własnością przewożącego.</w:t>
      </w:r>
    </w:p>
    <w:p w:rsidR="00F16F7C" w:rsidRDefault="00F16F7C" w:rsidP="00F16F7C">
      <w:pPr>
        <w:tabs>
          <w:tab w:val="left" w:pos="9923"/>
        </w:tabs>
        <w:spacing w:after="0" w:line="200" w:lineRule="exact"/>
        <w:ind w:left="425"/>
        <w:jc w:val="both"/>
        <w:rPr>
          <w:rFonts w:ascii="Times New Roman"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 xml:space="preserve">W podsekcjach D.1 i D.2 należy podać pochodzenie gospodarcze i zamierzone przeznaczenie środków będących własnością przewożącego. </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b/>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 xml:space="preserve">B.4: Przewożący jest zamierzonym odbiorcą części środków: </w:t>
      </w:r>
      <w:r w:rsidRPr="00F16F7C">
        <w:rPr>
          <w:rFonts w:ascii="Times New Roman" w:hAnsi="Times New Roman" w:cs="Times New Roman"/>
          <w:sz w:val="20"/>
          <w:szCs w:val="20"/>
        </w:rPr>
        <w:t>Wybrać, gdy przewożący jest też zamierzonym odbiorcą części środków pieniężnych. Dla każdego innego zamierzonego odbiorcy należy wy</w:t>
      </w:r>
      <w:r>
        <w:rPr>
          <w:rFonts w:ascii="Times New Roman" w:hAnsi="Times New Roman" w:cs="Times New Roman"/>
          <w:sz w:val="20"/>
          <w:szCs w:val="20"/>
        </w:rPr>
        <w:t>pełnić osobny dodatkowy arkusz.</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sz w:val="20"/>
          <w:szCs w:val="20"/>
        </w:rPr>
        <w:t>W sekcji C należy podać kwotę środków, które mają zost</w:t>
      </w:r>
      <w:r>
        <w:rPr>
          <w:rFonts w:ascii="Times New Roman" w:hAnsi="Times New Roman" w:cs="Times New Roman"/>
          <w:sz w:val="20"/>
          <w:szCs w:val="20"/>
        </w:rPr>
        <w:t>ać odebrane przez przewożącego.</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 xml:space="preserve">W podsekcji D.2 należy podać zamierzone przeznaczenie środków, które mają zostać odebrane przez przewożącego. </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 xml:space="preserve">B.5: Właściciel będący również zamierzonym odbiorcą części środków (inny niż przewożący): </w:t>
      </w:r>
      <w:r w:rsidRPr="00F16F7C">
        <w:rPr>
          <w:rFonts w:ascii="Times New Roman" w:hAnsi="Times New Roman" w:cs="Times New Roman"/>
          <w:sz w:val="20"/>
          <w:szCs w:val="20"/>
        </w:rPr>
        <w:t>Wybrać, gdy jest więcej niż jeden właściciel, oraz dla każdego właściciela, który jest też zamierzonym odbiorcą środków pieniężnych. Dla każdego innego właściciela, który jest też zamierzonym odbiorcą, należy wypełnić osobny dodatkowy arkusz.</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sz w:val="20"/>
          <w:szCs w:val="20"/>
        </w:rPr>
        <w:t>W sekcji C należy podać kwotę środków będących własnością właściciela oraz kwotę środków, które mają zostać odebrane przez właściciela i zamierzonego odbiorcę.</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sz w:val="20"/>
          <w:szCs w:val="20"/>
        </w:rPr>
        <w:t>W podsekcjach D.1 i D.2 należy podać pochodzenie gospodarcze i zamierzone przeznaczenie środków będących własnością właściciela i zam</w:t>
      </w:r>
      <w:r>
        <w:rPr>
          <w:rFonts w:ascii="Times New Roman" w:hAnsi="Times New Roman" w:cs="Times New Roman"/>
          <w:sz w:val="20"/>
          <w:szCs w:val="20"/>
        </w:rPr>
        <w:t>ierzonego odbiorcy.</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Dane właściciela i zamierzonego odbiorcy należy podać w podsekcji E.1, jeżeli są oni osobami fizycznymi, lub w podsekcji E.2, jeżeli są osobami prawnymi.</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 xml:space="preserve">B.6: Właściciel części środków (inny niż przewożący): </w:t>
      </w:r>
      <w:r w:rsidRPr="00F16F7C">
        <w:rPr>
          <w:rFonts w:ascii="Times New Roman" w:hAnsi="Times New Roman" w:cs="Times New Roman"/>
          <w:sz w:val="20"/>
          <w:szCs w:val="20"/>
        </w:rPr>
        <w:t>Wybrać, gdy jest więcej niż jeden właściciel środków pieniężnych. Dla każdego innego właściciela należy wy</w:t>
      </w:r>
      <w:r>
        <w:rPr>
          <w:rFonts w:ascii="Times New Roman" w:hAnsi="Times New Roman" w:cs="Times New Roman"/>
          <w:sz w:val="20"/>
          <w:szCs w:val="20"/>
        </w:rPr>
        <w:t>pełnić osobny dodatkowy arkusz.</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W sekcji C należy określić część środków będących własnością wł</w:t>
      </w:r>
      <w:r>
        <w:rPr>
          <w:rFonts w:ascii="Times New Roman" w:hAnsi="Times New Roman" w:cs="Times New Roman"/>
          <w:sz w:val="20"/>
          <w:szCs w:val="20"/>
        </w:rPr>
        <w:t>aściciela.</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sz w:val="20"/>
          <w:szCs w:val="20"/>
        </w:rPr>
        <w:t>W podsekcjach D.1 i D.2 należy podać pochodzenie gospodarcze i zamierzone przeznaczenie środków b</w:t>
      </w:r>
      <w:r>
        <w:rPr>
          <w:rFonts w:ascii="Times New Roman" w:hAnsi="Times New Roman" w:cs="Times New Roman"/>
          <w:sz w:val="20"/>
          <w:szCs w:val="20"/>
        </w:rPr>
        <w:t>ędących własnością właściciela.</w:t>
      </w:r>
    </w:p>
    <w:p w:rsidR="00F16F7C" w:rsidRDefault="00F16F7C" w:rsidP="00F16F7C">
      <w:pPr>
        <w:tabs>
          <w:tab w:val="left" w:pos="9923"/>
        </w:tabs>
        <w:spacing w:after="0" w:line="200" w:lineRule="exact"/>
        <w:jc w:val="both"/>
        <w:rPr>
          <w:rFonts w:ascii="Times New Roman"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Dane właściciela należy podać w podsekcji E.1, jeżeli jest on osobą fizyczną, albo w podsekcji E.2, jeżeli jest osobą prawną.</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p>
    <w:p w:rsidR="00F16F7C" w:rsidRPr="00F16F7C" w:rsidRDefault="00F16F7C" w:rsidP="00F16F7C">
      <w:pPr>
        <w:tabs>
          <w:tab w:val="left" w:pos="9923"/>
        </w:tabs>
        <w:spacing w:after="0" w:line="200" w:lineRule="exact"/>
        <w:ind w:left="425"/>
        <w:jc w:val="both"/>
        <w:rPr>
          <w:rFonts w:ascii="Times New Roman" w:hAnsi="Times New Roman" w:cs="Times New Roman"/>
          <w:sz w:val="20"/>
          <w:szCs w:val="20"/>
        </w:rPr>
      </w:pPr>
      <w:r w:rsidRPr="00F16F7C">
        <w:rPr>
          <w:rFonts w:ascii="Times New Roman" w:hAnsi="Times New Roman" w:cs="Times New Roman"/>
          <w:b/>
          <w:sz w:val="20"/>
          <w:szCs w:val="20"/>
        </w:rPr>
        <w:t>B.7: Zamierzony odbiorca części środków (inny niż przewożący):</w:t>
      </w:r>
      <w:r w:rsidRPr="00F16F7C">
        <w:rPr>
          <w:rFonts w:ascii="Times New Roman" w:hAnsi="Times New Roman" w:cs="Times New Roman"/>
          <w:sz w:val="20"/>
          <w:szCs w:val="20"/>
        </w:rPr>
        <w:t xml:space="preserve"> Wybrać, gdy jest więcej niż jeden zamierzony odbiorca środków pieniężnych. Dla każdego zamierzonego odbiorcy należy wypełnić osobny dodatkowy arkusz.</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W sekcji C należy podać kwotę środków, które mają zostać odebrane przez zamierzonego odbiorcę.</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 xml:space="preserve">W podsekcji D.2 należy podać zamierzone przeznaczenie środków, które mają zostać odebrane przez zamierzonego odbiorcę. </w:t>
      </w:r>
    </w:p>
    <w:p w:rsidR="00F16F7C" w:rsidRPr="00F16F7C" w:rsidRDefault="00F16F7C" w:rsidP="00F16F7C">
      <w:pPr>
        <w:tabs>
          <w:tab w:val="left" w:pos="9923"/>
        </w:tabs>
        <w:spacing w:after="0" w:line="200" w:lineRule="exact"/>
        <w:ind w:left="425"/>
        <w:jc w:val="both"/>
        <w:rPr>
          <w:rFonts w:ascii="Times New Roman" w:eastAsia="MS Gothic" w:hAnsi="Times New Roman" w:cs="Times New Roman"/>
          <w:sz w:val="20"/>
          <w:szCs w:val="20"/>
        </w:rPr>
      </w:pPr>
      <w:r w:rsidRPr="00F16F7C">
        <w:rPr>
          <w:rFonts w:ascii="Times New Roman" w:hAnsi="Times New Roman" w:cs="Times New Roman"/>
          <w:sz w:val="20"/>
          <w:szCs w:val="20"/>
        </w:rPr>
        <w:t>Dane zamierzonego odbiorcy należy podać w podsekcji E.1, jeżeli jest on osobą fizyczną, albo w podsekcji E.2, jeżeli jest osobą prawną.</w:t>
      </w:r>
    </w:p>
    <w:p w:rsidR="00F16F7C" w:rsidRPr="00F16F7C" w:rsidRDefault="00F16F7C" w:rsidP="00F16F7C">
      <w:pPr>
        <w:tabs>
          <w:tab w:val="left" w:pos="9923"/>
        </w:tabs>
        <w:spacing w:after="0" w:line="200" w:lineRule="exact"/>
        <w:ind w:left="426"/>
        <w:contextualSpacing/>
        <w:jc w:val="both"/>
        <w:rPr>
          <w:rFonts w:ascii="Times New Roman" w:eastAsia="MS Gothic" w:hAnsi="Times New Roman" w:cs="Times New Roman"/>
          <w:b/>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b/>
          <w:color w:val="000000" w:themeColor="text1"/>
          <w:sz w:val="20"/>
          <w:szCs w:val="20"/>
          <w:u w:val="single"/>
        </w:rPr>
      </w:pPr>
      <w:r w:rsidRPr="00F16F7C">
        <w:rPr>
          <w:rFonts w:ascii="Times New Roman" w:hAnsi="Times New Roman" w:cs="Times New Roman"/>
          <w:b/>
          <w:color w:val="000000" w:themeColor="text1"/>
          <w:sz w:val="20"/>
          <w:szCs w:val="20"/>
          <w:u w:val="single"/>
        </w:rPr>
        <w:t xml:space="preserve">Sekcja C: Informacje o środkach pieniężnych </w:t>
      </w: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 xml:space="preserve">Znaczenie „środków pieniężnych” wyjaśniono w pozycji „Informacje ogólne” w instrukcji do deklaracji środków pieniężnych. </w:t>
      </w:r>
    </w:p>
    <w:p w:rsidR="00F16F7C" w:rsidRPr="00F16F7C" w:rsidRDefault="00F16F7C" w:rsidP="00F16F7C">
      <w:pPr>
        <w:tabs>
          <w:tab w:val="left" w:pos="9923"/>
        </w:tabs>
        <w:spacing w:after="0" w:line="200" w:lineRule="exact"/>
        <w:contextualSpacing/>
        <w:jc w:val="both"/>
        <w:rPr>
          <w:rFonts w:ascii="Times New Roman" w:hAnsi="Times New Roman" w:cs="Times New Roman"/>
          <w:b/>
          <w:i/>
          <w:sz w:val="20"/>
          <w:szCs w:val="20"/>
          <w:u w:val="single"/>
        </w:rPr>
      </w:pPr>
    </w:p>
    <w:p w:rsidR="00F16F7C" w:rsidRPr="00F16F7C" w:rsidRDefault="00F16F7C" w:rsidP="00F16F7C">
      <w:pPr>
        <w:tabs>
          <w:tab w:val="left" w:pos="9923"/>
        </w:tabs>
        <w:spacing w:after="0" w:line="200" w:lineRule="exact"/>
        <w:contextualSpacing/>
        <w:jc w:val="both"/>
        <w:rPr>
          <w:rFonts w:ascii="Times New Roman" w:hAnsi="Times New Roman" w:cs="Times New Roman"/>
          <w:b/>
          <w:sz w:val="20"/>
          <w:szCs w:val="20"/>
          <w:u w:val="single"/>
        </w:rPr>
      </w:pPr>
      <w:r w:rsidRPr="00F16F7C">
        <w:rPr>
          <w:rFonts w:ascii="Times New Roman" w:hAnsi="Times New Roman" w:cs="Times New Roman"/>
          <w:b/>
          <w:sz w:val="20"/>
          <w:szCs w:val="20"/>
          <w:u w:val="single"/>
        </w:rPr>
        <w:t>Sekcja D: Pochodzenie gospodarcze i zamierzone przeznaczenie środków pieniężnych</w:t>
      </w: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 xml:space="preserve">Zaznaczyć odpowiednie pola w zależności od pochodzenia gospodarczego i zamierzonego przeznaczenia środków pieniężnych, jak określono w sekcji B. Można wybrać więcej niż jedną opcję. Jeżeli żadna z opcji nie jest właściwa, zaznaczyć „Inne” i wpisać informacje. </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b/>
          <w:color w:val="000000" w:themeColor="text1"/>
          <w:sz w:val="20"/>
          <w:szCs w:val="20"/>
          <w:u w:val="single"/>
        </w:rPr>
      </w:pPr>
      <w:r w:rsidRPr="00F16F7C">
        <w:rPr>
          <w:rFonts w:ascii="Times New Roman" w:hAnsi="Times New Roman" w:cs="Times New Roman"/>
          <w:b/>
          <w:color w:val="000000" w:themeColor="text1"/>
          <w:sz w:val="20"/>
          <w:szCs w:val="20"/>
          <w:u w:val="single"/>
        </w:rPr>
        <w:t xml:space="preserve">Sekcja E: Osoby uczestniczące </w:t>
      </w: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 xml:space="preserve">Wpisać dane uczestniczących osób. Mogą to być osoby fizyczne lub osoby prawne. Należy zaznaczyć właściwe pole i wpisać dane. </w:t>
      </w:r>
    </w:p>
    <w:p w:rsidR="00F16F7C" w:rsidRP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Pr="00F16F7C" w:rsidRDefault="00F16F7C" w:rsidP="00F16F7C">
      <w:pPr>
        <w:tabs>
          <w:tab w:val="left" w:pos="9923"/>
        </w:tabs>
        <w:spacing w:after="0" w:line="200" w:lineRule="exact"/>
        <w:contextualSpacing/>
        <w:jc w:val="both"/>
        <w:rPr>
          <w:rFonts w:ascii="Times New Roman" w:hAnsi="Times New Roman" w:cs="Times New Roman"/>
          <w:b/>
          <w:sz w:val="20"/>
          <w:szCs w:val="20"/>
          <w:u w:val="single"/>
        </w:rPr>
      </w:pPr>
      <w:r w:rsidRPr="00F16F7C">
        <w:rPr>
          <w:rFonts w:ascii="Times New Roman" w:hAnsi="Times New Roman" w:cs="Times New Roman"/>
          <w:b/>
          <w:color w:val="000000" w:themeColor="text1"/>
          <w:sz w:val="20"/>
          <w:szCs w:val="20"/>
          <w:u w:val="single"/>
        </w:rPr>
        <w:t>Sekcja F:</w:t>
      </w:r>
      <w:r w:rsidRPr="00F16F7C">
        <w:rPr>
          <w:rFonts w:ascii="Times New Roman" w:hAnsi="Times New Roman" w:cs="Times New Roman"/>
          <w:b/>
          <w:sz w:val="20"/>
          <w:szCs w:val="20"/>
          <w:u w:val="single"/>
        </w:rPr>
        <w:t xml:space="preserve"> Podpis </w:t>
      </w: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r w:rsidRPr="00F16F7C">
        <w:rPr>
          <w:rFonts w:ascii="Times New Roman" w:hAnsi="Times New Roman" w:cs="Times New Roman"/>
          <w:color w:val="000000" w:themeColor="text1"/>
          <w:sz w:val="20"/>
          <w:szCs w:val="20"/>
        </w:rPr>
        <w:t>Należy wpisać datę, miejsce, imię i nazwisko, złożyć podpis i dołączyć dodatkowy arkusz do głównego formularza deklaracji środków pieniężnych. Wszystkie podane informacje stanowią jedną deklarację.</w:t>
      </w: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F16F7C" w:rsidRDefault="00F16F7C" w:rsidP="00F16F7C">
      <w:pPr>
        <w:tabs>
          <w:tab w:val="left" w:pos="9923"/>
        </w:tabs>
        <w:spacing w:after="0" w:line="200" w:lineRule="exact"/>
        <w:contextualSpacing/>
        <w:jc w:val="both"/>
        <w:rPr>
          <w:rFonts w:ascii="Times New Roman" w:hAnsi="Times New Roman" w:cs="Times New Roman"/>
          <w:color w:val="000000" w:themeColor="text1"/>
          <w:sz w:val="20"/>
          <w:szCs w:val="20"/>
        </w:rPr>
      </w:pPr>
    </w:p>
    <w:p w:rsidR="008F3BB4" w:rsidRDefault="008F3BB4" w:rsidP="00F16F7C">
      <w:pPr>
        <w:tabs>
          <w:tab w:val="left" w:pos="9923"/>
        </w:tabs>
        <w:spacing w:after="0" w:line="200" w:lineRule="exact"/>
        <w:contextualSpacing/>
        <w:jc w:val="both"/>
        <w:rPr>
          <w:rFonts w:ascii="Times New Roman" w:hAnsi="Times New Roman" w:cs="Times New Roman"/>
          <w:sz w:val="20"/>
          <w:szCs w:val="20"/>
        </w:rPr>
        <w:sectPr w:rsidR="008F3BB4" w:rsidSect="00F16F7C">
          <w:footerReference w:type="default" r:id="rId9"/>
          <w:pgSz w:w="11906" w:h="16838"/>
          <w:pgMar w:top="720" w:right="720" w:bottom="720" w:left="720" w:header="708" w:footer="708" w:gutter="0"/>
          <w:cols w:space="708"/>
          <w:docGrid w:linePitch="360"/>
        </w:sectPr>
      </w:pPr>
    </w:p>
    <w:p w:rsidR="008F3BB4" w:rsidRPr="008F3BB4" w:rsidRDefault="00C92536" w:rsidP="008F3BB4">
      <w:pPr>
        <w:rPr>
          <w:rFonts w:ascii="Times New Roman" w:eastAsia="Calibri" w:hAnsi="Times New Roman" w:cs="Times New Roman"/>
          <w:color w:val="7F7F7F"/>
          <w:lang w:eastAsia="pl-PL"/>
        </w:rPr>
      </w:pPr>
      <w:r>
        <w:rPr>
          <w:rFonts w:ascii="Times New Roman" w:eastAsia="Calibri" w:hAnsi="Times New Roman" w:cs="Times New Roman"/>
          <w:color w:val="7F7F7F"/>
          <w:lang w:eastAsia="pl-PL"/>
        </w:rPr>
        <w:t>K</w:t>
      </w:r>
      <w:bookmarkStart w:id="0" w:name="_GoBack"/>
      <w:bookmarkEnd w:id="0"/>
      <w:r w:rsidR="008F3BB4" w:rsidRPr="008F3BB4">
        <w:rPr>
          <w:rFonts w:ascii="Times New Roman" w:eastAsia="Calibri" w:hAnsi="Times New Roman" w:cs="Times New Roman"/>
          <w:color w:val="7F7F7F"/>
          <w:lang w:eastAsia="pl-PL"/>
        </w:rPr>
        <w:t>lauzula informacyjna Szefa Krajowej Administracji Skarbowej dla osób wypełniających formularze deklaracji lub ujawnienia środków pieniężnych jest dostępna poprzez link zamieszczony pod adresem</w:t>
      </w:r>
    </w:p>
    <w:p w:rsidR="008F3BB4" w:rsidRPr="008F3BB4" w:rsidRDefault="00C92536" w:rsidP="008F3BB4">
      <w:pPr>
        <w:rPr>
          <w:rFonts w:ascii="Times New Roman" w:eastAsia="Calibri" w:hAnsi="Times New Roman" w:cs="Times New Roman"/>
          <w:color w:val="7F7F7F"/>
          <w:lang w:eastAsia="pl-PL"/>
        </w:rPr>
      </w:pPr>
      <w:hyperlink r:id="rId10" w:history="1">
        <w:r w:rsidR="008F3BB4" w:rsidRPr="008F3BB4">
          <w:rPr>
            <w:rFonts w:ascii="Times New Roman" w:eastAsia="Calibri" w:hAnsi="Times New Roman" w:cs="Times New Roman"/>
            <w:color w:val="000080"/>
            <w:u w:val="single"/>
            <w:lang w:eastAsia="pl-PL"/>
          </w:rPr>
          <w:t>https://www.gov.pl/web/kas/od-3-czerwca-nowe-przepisy-unijne-ws-przewozenia-pieniedzy-przez-granice</w:t>
        </w:r>
      </w:hyperlink>
    </w:p>
    <w:p w:rsidR="008F3BB4" w:rsidRPr="008F3BB4" w:rsidRDefault="008F3BB4" w:rsidP="008F3BB4">
      <w:pPr>
        <w:rPr>
          <w:rFonts w:ascii="Times New Roman" w:eastAsia="Calibri" w:hAnsi="Times New Roman" w:cs="Times New Roman"/>
          <w:color w:val="7F7F7F"/>
          <w:lang w:eastAsia="pl-PL"/>
        </w:rPr>
      </w:pPr>
    </w:p>
    <w:p w:rsidR="008F3BB4" w:rsidRPr="008F3BB4" w:rsidRDefault="008F3BB4" w:rsidP="008F3BB4">
      <w:pPr>
        <w:rPr>
          <w:rFonts w:ascii="Times New Roman" w:eastAsia="Calibri" w:hAnsi="Times New Roman" w:cs="Times New Roman"/>
          <w:color w:val="7F7F7F"/>
          <w:lang w:eastAsia="pl-PL"/>
        </w:rPr>
      </w:pPr>
      <w:r w:rsidRPr="008F3BB4">
        <w:rPr>
          <w:rFonts w:ascii="Calibri" w:eastAsia="Calibri" w:hAnsi="Calibri" w:cs="Times New Roman"/>
          <w:noProof/>
          <w:color w:val="7F7F7F"/>
          <w:lang w:eastAsia="pl-PL"/>
        </w:rPr>
        <w:drawing>
          <wp:inline distT="0" distB="0" distL="0" distR="0" wp14:anchorId="12123F92" wp14:editId="611D8EE4">
            <wp:extent cx="2047875" cy="2047875"/>
            <wp:effectExtent l="0" t="0" r="0" b="0"/>
            <wp:docPr id="3" name="Obraz 4" descr="C:\Users\DAMS\AppData\Local\Microsoft\Windows\INetCache\Content.MSO\42E72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AMS\AppData\Local\Microsoft\Windows\INetCache\Content.MSO\42E7253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F16F7C" w:rsidRPr="00F16F7C" w:rsidRDefault="00F16F7C" w:rsidP="00F16F7C">
      <w:pPr>
        <w:tabs>
          <w:tab w:val="left" w:pos="9923"/>
        </w:tabs>
        <w:spacing w:after="0" w:line="200" w:lineRule="exact"/>
        <w:contextualSpacing/>
        <w:jc w:val="both"/>
        <w:rPr>
          <w:rFonts w:ascii="Times New Roman" w:hAnsi="Times New Roman" w:cs="Times New Roman"/>
          <w:sz w:val="20"/>
          <w:szCs w:val="20"/>
        </w:rPr>
      </w:pPr>
    </w:p>
    <w:sectPr w:rsidR="00F16F7C" w:rsidRPr="00F16F7C" w:rsidSect="00F16F7C">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AE5" w:rsidRDefault="005C6AE5" w:rsidP="00F16F7C">
      <w:pPr>
        <w:spacing w:after="0" w:line="240" w:lineRule="auto"/>
      </w:pPr>
      <w:r>
        <w:separator/>
      </w:r>
    </w:p>
  </w:endnote>
  <w:endnote w:type="continuationSeparator" w:id="0">
    <w:p w:rsidR="005C6AE5" w:rsidRDefault="005C6AE5" w:rsidP="00F16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568567"/>
      <w:docPartObj>
        <w:docPartGallery w:val="Page Numbers (Bottom of Page)"/>
        <w:docPartUnique/>
      </w:docPartObj>
    </w:sdtPr>
    <w:sdtEndPr/>
    <w:sdtContent>
      <w:sdt>
        <w:sdtPr>
          <w:id w:val="860082579"/>
          <w:docPartObj>
            <w:docPartGallery w:val="Page Numbers (Top of Page)"/>
            <w:docPartUnique/>
          </w:docPartObj>
        </w:sdtPr>
        <w:sdtEndPr/>
        <w:sdtContent>
          <w:p w:rsidR="00F16F7C" w:rsidRPr="008F3BB4" w:rsidRDefault="00F16F7C">
            <w:pPr>
              <w:pStyle w:val="Stopka"/>
              <w:jc w:val="right"/>
            </w:pPr>
            <w:r w:rsidRPr="008F3BB4">
              <w:t xml:space="preserve">Strona </w:t>
            </w:r>
            <w:r w:rsidRPr="008F3BB4">
              <w:rPr>
                <w:b/>
                <w:bCs/>
              </w:rPr>
              <w:fldChar w:fldCharType="begin"/>
            </w:r>
            <w:r w:rsidRPr="008F3BB4">
              <w:rPr>
                <w:b/>
                <w:bCs/>
              </w:rPr>
              <w:instrText>PAGE</w:instrText>
            </w:r>
            <w:r w:rsidRPr="008F3BB4">
              <w:rPr>
                <w:b/>
                <w:bCs/>
              </w:rPr>
              <w:fldChar w:fldCharType="separate"/>
            </w:r>
            <w:r w:rsidR="00C92536">
              <w:rPr>
                <w:b/>
                <w:bCs/>
                <w:noProof/>
              </w:rPr>
              <w:t>4</w:t>
            </w:r>
            <w:r w:rsidRPr="008F3BB4">
              <w:rPr>
                <w:b/>
                <w:bCs/>
              </w:rPr>
              <w:fldChar w:fldCharType="end"/>
            </w:r>
            <w:r w:rsidRPr="008F3BB4">
              <w:t xml:space="preserve"> z </w:t>
            </w:r>
            <w:r w:rsidR="008F3BB4" w:rsidRPr="008F3BB4">
              <w:rPr>
                <w:b/>
                <w:bCs/>
              </w:rPr>
              <w:fldChar w:fldCharType="begin"/>
            </w:r>
            <w:r w:rsidR="008F3BB4" w:rsidRPr="008F3BB4">
              <w:rPr>
                <w:b/>
                <w:bCs/>
              </w:rPr>
              <w:instrText xml:space="preserve"> SECTIONPAGES  </w:instrText>
            </w:r>
            <w:r w:rsidR="008F3BB4" w:rsidRPr="008F3BB4">
              <w:rPr>
                <w:b/>
                <w:bCs/>
              </w:rPr>
              <w:fldChar w:fldCharType="separate"/>
            </w:r>
            <w:r w:rsidR="00C92536">
              <w:rPr>
                <w:b/>
                <w:bCs/>
                <w:noProof/>
              </w:rPr>
              <w:t>4</w:t>
            </w:r>
            <w:r w:rsidR="008F3BB4" w:rsidRPr="008F3BB4">
              <w:rPr>
                <w:b/>
                <w:bCs/>
              </w:rPr>
              <w:fldChar w:fldCharType="end"/>
            </w:r>
          </w:p>
        </w:sdtContent>
      </w:sdt>
    </w:sdtContent>
  </w:sdt>
  <w:p w:rsidR="00F16F7C" w:rsidRDefault="008F3BB4" w:rsidP="008F3BB4">
    <w:pPr>
      <w:pStyle w:val="Stopka"/>
      <w:tabs>
        <w:tab w:val="clear" w:pos="4536"/>
        <w:tab w:val="clear" w:pos="9072"/>
        <w:tab w:val="left" w:pos="9729"/>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000923"/>
      <w:docPartObj>
        <w:docPartGallery w:val="Page Numbers (Bottom of Page)"/>
        <w:docPartUnique/>
      </w:docPartObj>
    </w:sdtPr>
    <w:sdtEndPr/>
    <w:sdtContent>
      <w:sdt>
        <w:sdtPr>
          <w:id w:val="-835612477"/>
          <w:docPartObj>
            <w:docPartGallery w:val="Page Numbers (Top of Page)"/>
            <w:docPartUnique/>
          </w:docPartObj>
        </w:sdtPr>
        <w:sdtEndPr/>
        <w:sdtContent>
          <w:p w:rsidR="008F3BB4" w:rsidRDefault="00C92536">
            <w:pPr>
              <w:pStyle w:val="Stopka"/>
              <w:jc w:val="right"/>
            </w:pPr>
          </w:p>
        </w:sdtContent>
      </w:sdt>
    </w:sdtContent>
  </w:sdt>
  <w:p w:rsidR="008F3BB4" w:rsidRDefault="008F3BB4" w:rsidP="008F3BB4">
    <w:pPr>
      <w:pStyle w:val="Stopka"/>
      <w:tabs>
        <w:tab w:val="clear" w:pos="4536"/>
        <w:tab w:val="clear" w:pos="9072"/>
        <w:tab w:val="left" w:pos="972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AE5" w:rsidRDefault="005C6AE5" w:rsidP="00F16F7C">
      <w:pPr>
        <w:spacing w:after="0" w:line="240" w:lineRule="auto"/>
      </w:pPr>
      <w:r>
        <w:separator/>
      </w:r>
    </w:p>
  </w:footnote>
  <w:footnote w:type="continuationSeparator" w:id="0">
    <w:p w:rsidR="005C6AE5" w:rsidRDefault="005C6AE5" w:rsidP="00F16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BB4" w:rsidRDefault="008F3BB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39D"/>
    <w:rsid w:val="005C6AE5"/>
    <w:rsid w:val="008429C0"/>
    <w:rsid w:val="008F3BB4"/>
    <w:rsid w:val="0095739D"/>
    <w:rsid w:val="00C92536"/>
    <w:rsid w:val="00F16F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B859F"/>
  <w15:docId w15:val="{E7187613-EA83-4380-92D8-16581AA88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16F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6F7C"/>
  </w:style>
  <w:style w:type="paragraph" w:styleId="Stopka">
    <w:name w:val="footer"/>
    <w:basedOn w:val="Normalny"/>
    <w:link w:val="StopkaZnak"/>
    <w:uiPriority w:val="99"/>
    <w:unhideWhenUsed/>
    <w:rsid w:val="00F16F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6F7C"/>
  </w:style>
  <w:style w:type="paragraph" w:styleId="Tekstdymka">
    <w:name w:val="Balloon Text"/>
    <w:basedOn w:val="Normalny"/>
    <w:link w:val="TekstdymkaZnak"/>
    <w:uiPriority w:val="99"/>
    <w:semiHidden/>
    <w:unhideWhenUsed/>
    <w:rsid w:val="00F16F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6F7C"/>
    <w:rPr>
      <w:rFonts w:ascii="Tahoma" w:hAnsi="Tahoma" w:cs="Tahoma"/>
      <w:sz w:val="16"/>
      <w:szCs w:val="16"/>
    </w:rPr>
  </w:style>
  <w:style w:type="paragraph" w:styleId="Akapitzlist">
    <w:name w:val="List Paragraph"/>
    <w:basedOn w:val="Normalny"/>
    <w:uiPriority w:val="34"/>
    <w:rsid w:val="00F16F7C"/>
    <w:pPr>
      <w:spacing w:after="0" w:line="240" w:lineRule="atLeast"/>
      <w:ind w:left="720"/>
      <w:contextualSpacing/>
    </w:pPr>
    <w:rPr>
      <w:rFonts w:ascii="Verdana" w:hAnsi="Verdana"/>
      <w:sz w:val="18"/>
    </w:rPr>
  </w:style>
  <w:style w:type="character" w:styleId="Hipercze">
    <w:name w:val="Hyperlink"/>
    <w:rsid w:val="00F16F7C"/>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pl/web/kas/od-3-czerwca-nowe-przepisy-unijne-ws-przewozenia-pieniedzy-przez-granic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00741-65C6-440B-BECD-D9712EDA1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779</Words>
  <Characters>4678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Dębek Bartosz</dc:creator>
  <cp:keywords/>
  <dc:description/>
  <cp:lastModifiedBy>Antoni Serpatowski</cp:lastModifiedBy>
  <cp:revision>4</cp:revision>
  <dcterms:created xsi:type="dcterms:W3CDTF">2021-05-31T16:17:00Z</dcterms:created>
  <dcterms:modified xsi:type="dcterms:W3CDTF">2021-06-02T12:47:00Z</dcterms:modified>
</cp:coreProperties>
</file>